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F0" w:rsidRDefault="001B4BF0">
      <w:r>
        <w:rPr>
          <w:rFonts w:hint="eastAsia"/>
        </w:rPr>
        <w:t>（有）グリーンサービス・コスモス経営健全化方針に基づく取組状況（令和元年度）</w:t>
      </w:r>
    </w:p>
    <w:p w:rsidR="001B4BF0" w:rsidRDefault="001B4BF0"/>
    <w:p w:rsidR="003F779E" w:rsidRDefault="003F779E"/>
    <w:p w:rsidR="001B4BF0" w:rsidRDefault="001B4BF0">
      <w:r>
        <w:rPr>
          <w:rFonts w:hint="eastAsia"/>
        </w:rPr>
        <w:t>〇法人名：（有）グリーンサービス・コスモス</w:t>
      </w:r>
    </w:p>
    <w:p w:rsidR="001B4BF0" w:rsidRDefault="001B4BF0"/>
    <w:p w:rsidR="003F779E" w:rsidRDefault="003F779E"/>
    <w:p w:rsidR="009F7966" w:rsidRDefault="001B4BF0">
      <w:r>
        <w:rPr>
          <w:rFonts w:hint="eastAsia"/>
        </w:rPr>
        <w:t>〇経営健全化方針を策定した理由：</w:t>
      </w:r>
    </w:p>
    <w:p w:rsidR="00947F76" w:rsidRDefault="009F7966">
      <w:r>
        <w:rPr>
          <w:rFonts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6351</wp:posOffset>
                </wp:positionV>
                <wp:extent cx="537210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D75B4" id="正方形/長方形 1" o:spid="_x0000_s1026" style="position:absolute;left:0;text-align:left;margin-left:0;margin-top:.5pt;width:423pt;height: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" filled="f" strokecolor="#1f4d78 [1604]" strokeweight="1pt">
                <w10:wrap anchorx="margin"/>
              </v:rect>
            </w:pict>
          </mc:Fallback>
        </mc:AlternateContent>
      </w:r>
      <w:r>
        <w:rPr>
          <w:rFonts w:hint="eastAsia"/>
        </w:rPr>
        <w:t>・</w:t>
      </w:r>
      <w:r w:rsidR="001B4BF0">
        <w:rPr>
          <w:rFonts w:hint="eastAsia"/>
        </w:rPr>
        <w:t>平成</w:t>
      </w:r>
      <w:r w:rsidR="00611041">
        <w:rPr>
          <w:rFonts w:hint="eastAsia"/>
        </w:rPr>
        <w:t>１５年</w:t>
      </w:r>
      <w:r w:rsidR="00947F76">
        <w:rPr>
          <w:rFonts w:hint="eastAsia"/>
        </w:rPr>
        <w:t>度から平成２９年度の</w:t>
      </w:r>
      <w:r w:rsidR="00611041">
        <w:rPr>
          <w:rFonts w:hint="eastAsia"/>
        </w:rPr>
        <w:t>経常収支が</w:t>
      </w:r>
      <w:r w:rsidR="00947F76">
        <w:rPr>
          <w:rFonts w:hint="eastAsia"/>
        </w:rPr>
        <w:t>赤字</w:t>
      </w:r>
      <w:r w:rsidR="00611041">
        <w:rPr>
          <w:rFonts w:hint="eastAsia"/>
        </w:rPr>
        <w:t>であ</w:t>
      </w:r>
      <w:r w:rsidR="00947F76">
        <w:rPr>
          <w:rFonts w:hint="eastAsia"/>
        </w:rPr>
        <w:t>ったため、策定したもの。</w:t>
      </w:r>
    </w:p>
    <w:p w:rsidR="00242B8E" w:rsidRDefault="00242B8E"/>
    <w:p w:rsidR="00242B8E" w:rsidRDefault="00242B8E" w:rsidP="00242B8E"/>
    <w:p w:rsidR="003F779E" w:rsidRDefault="003F779E" w:rsidP="00242B8E"/>
    <w:p w:rsidR="00947F76" w:rsidRDefault="00242B8E" w:rsidP="00242B8E">
      <w:r>
        <w:rPr>
          <w:rFonts w:hint="eastAsia"/>
        </w:rPr>
        <w:t>〇財政的リスクの状況</w:t>
      </w:r>
    </w:p>
    <w:tbl>
      <w:tblPr>
        <w:tblStyle w:val="a3"/>
        <w:tblW w:w="0" w:type="auto"/>
        <w:tblLook w:val="04A0" w:firstRow="1" w:lastRow="0" w:firstColumn="1" w:lastColumn="0" w:noHBand="0" w:noVBand="1"/>
      </w:tblPr>
      <w:tblGrid>
        <w:gridCol w:w="2123"/>
        <w:gridCol w:w="2408"/>
        <w:gridCol w:w="2410"/>
      </w:tblGrid>
      <w:tr w:rsidR="00093197" w:rsidTr="00093197">
        <w:tc>
          <w:tcPr>
            <w:tcW w:w="2123" w:type="dxa"/>
          </w:tcPr>
          <w:p w:rsidR="00093197" w:rsidRDefault="00093197" w:rsidP="00242B8E"/>
        </w:tc>
        <w:tc>
          <w:tcPr>
            <w:tcW w:w="2408" w:type="dxa"/>
          </w:tcPr>
          <w:p w:rsidR="00093197" w:rsidRDefault="00093197" w:rsidP="00067187">
            <w:pPr>
              <w:jc w:val="center"/>
            </w:pPr>
            <w:r>
              <w:rPr>
                <w:rFonts w:hint="eastAsia"/>
              </w:rPr>
              <w:t>平成29年度決算</w:t>
            </w:r>
          </w:p>
        </w:tc>
        <w:tc>
          <w:tcPr>
            <w:tcW w:w="2410" w:type="dxa"/>
          </w:tcPr>
          <w:p w:rsidR="00093197" w:rsidRDefault="00093197" w:rsidP="00067187">
            <w:pPr>
              <w:jc w:val="center"/>
            </w:pPr>
            <w:r>
              <w:rPr>
                <w:rFonts w:hint="eastAsia"/>
              </w:rPr>
              <w:t>平成30年度決算</w:t>
            </w:r>
          </w:p>
        </w:tc>
      </w:tr>
      <w:tr w:rsidR="00093197" w:rsidTr="00093197">
        <w:tc>
          <w:tcPr>
            <w:tcW w:w="2123" w:type="dxa"/>
          </w:tcPr>
          <w:p w:rsidR="00093197" w:rsidRDefault="00093197" w:rsidP="00242B8E">
            <w:r>
              <w:rPr>
                <w:rFonts w:hint="eastAsia"/>
              </w:rPr>
              <w:t>債務超過額（千円）</w:t>
            </w:r>
          </w:p>
        </w:tc>
        <w:tc>
          <w:tcPr>
            <w:tcW w:w="2408" w:type="dxa"/>
            <w:vAlign w:val="center"/>
          </w:tcPr>
          <w:p w:rsidR="00093197" w:rsidRDefault="00093197" w:rsidP="001F45E0">
            <w:pPr>
              <w:jc w:val="right"/>
            </w:pPr>
            <w:r>
              <w:rPr>
                <w:rFonts w:hint="eastAsia"/>
              </w:rPr>
              <w:t>0</w:t>
            </w:r>
          </w:p>
        </w:tc>
        <w:tc>
          <w:tcPr>
            <w:tcW w:w="2410" w:type="dxa"/>
            <w:vAlign w:val="center"/>
          </w:tcPr>
          <w:p w:rsidR="00093197" w:rsidRDefault="00093197" w:rsidP="001F45E0">
            <w:pPr>
              <w:jc w:val="right"/>
            </w:pPr>
            <w:r>
              <w:rPr>
                <w:rFonts w:hint="eastAsia"/>
              </w:rPr>
              <w:t>0</w:t>
            </w:r>
          </w:p>
        </w:tc>
      </w:tr>
      <w:tr w:rsidR="00093197" w:rsidTr="00093197">
        <w:tc>
          <w:tcPr>
            <w:tcW w:w="2123" w:type="dxa"/>
          </w:tcPr>
          <w:p w:rsidR="00093197" w:rsidRDefault="00093197" w:rsidP="00242B8E">
            <w:r>
              <w:rPr>
                <w:rFonts w:hint="eastAsia"/>
              </w:rPr>
              <w:t>事業の内容に応じて時価で評価した場合の債務超過額（千円）</w:t>
            </w:r>
          </w:p>
        </w:tc>
        <w:tc>
          <w:tcPr>
            <w:tcW w:w="2408" w:type="dxa"/>
            <w:vAlign w:val="center"/>
          </w:tcPr>
          <w:p w:rsidR="00093197" w:rsidRDefault="00093197" w:rsidP="001F45E0">
            <w:pPr>
              <w:jc w:val="center"/>
            </w:pPr>
            <w:r>
              <w:rPr>
                <w:rFonts w:hint="eastAsia"/>
              </w:rPr>
              <w:t>―</w:t>
            </w:r>
          </w:p>
        </w:tc>
        <w:tc>
          <w:tcPr>
            <w:tcW w:w="2410" w:type="dxa"/>
            <w:vAlign w:val="center"/>
          </w:tcPr>
          <w:p w:rsidR="00093197" w:rsidRDefault="00093197" w:rsidP="001F45E0">
            <w:pPr>
              <w:jc w:val="center"/>
            </w:pPr>
            <w:r>
              <w:rPr>
                <w:rFonts w:hint="eastAsia"/>
              </w:rPr>
              <w:t>―</w:t>
            </w:r>
          </w:p>
        </w:tc>
      </w:tr>
      <w:tr w:rsidR="00093197" w:rsidTr="00093197">
        <w:tc>
          <w:tcPr>
            <w:tcW w:w="2123" w:type="dxa"/>
          </w:tcPr>
          <w:p w:rsidR="00093197" w:rsidRDefault="00093197" w:rsidP="00242B8E">
            <w:r>
              <w:rPr>
                <w:rFonts w:hint="eastAsia"/>
              </w:rPr>
              <w:t>土地開発公社のうち債務保証又は損失補償の対象となっている保有期間5年以上の土地の薄価総額（A</w:t>
            </w:r>
            <w:r>
              <w:t>）</w:t>
            </w:r>
            <w:r>
              <w:rPr>
                <w:rFonts w:hint="eastAsia"/>
              </w:rPr>
              <w:t>（千円）</w:t>
            </w:r>
          </w:p>
        </w:tc>
        <w:tc>
          <w:tcPr>
            <w:tcW w:w="2408" w:type="dxa"/>
            <w:vAlign w:val="center"/>
          </w:tcPr>
          <w:p w:rsidR="00093197" w:rsidRDefault="00093197" w:rsidP="001F45E0">
            <w:pPr>
              <w:jc w:val="center"/>
            </w:pPr>
            <w:r>
              <w:rPr>
                <w:rFonts w:hint="eastAsia"/>
              </w:rPr>
              <w:t>―</w:t>
            </w:r>
          </w:p>
        </w:tc>
        <w:tc>
          <w:tcPr>
            <w:tcW w:w="2410" w:type="dxa"/>
            <w:vAlign w:val="center"/>
          </w:tcPr>
          <w:p w:rsidR="00093197" w:rsidRDefault="00093197" w:rsidP="001F45E0">
            <w:pPr>
              <w:jc w:val="center"/>
            </w:pPr>
            <w:r>
              <w:rPr>
                <w:rFonts w:hint="eastAsia"/>
              </w:rPr>
              <w:t>―</w:t>
            </w:r>
          </w:p>
        </w:tc>
      </w:tr>
      <w:tr w:rsidR="00093197" w:rsidTr="00093197">
        <w:tc>
          <w:tcPr>
            <w:tcW w:w="2123" w:type="dxa"/>
          </w:tcPr>
          <w:p w:rsidR="00093197" w:rsidRDefault="00093197" w:rsidP="00242B8E">
            <w:r>
              <w:rPr>
                <w:rFonts w:hint="eastAsia"/>
              </w:rPr>
              <w:t>損失補償、債務保証及び短期貸付けの合計額（B</w:t>
            </w:r>
            <w:r>
              <w:t>）</w:t>
            </w:r>
            <w:r>
              <w:rPr>
                <w:rFonts w:hint="eastAsia"/>
              </w:rPr>
              <w:t>（千円）</w:t>
            </w:r>
          </w:p>
        </w:tc>
        <w:tc>
          <w:tcPr>
            <w:tcW w:w="2408" w:type="dxa"/>
            <w:vAlign w:val="center"/>
          </w:tcPr>
          <w:p w:rsidR="00093197" w:rsidRDefault="00093197" w:rsidP="001F45E0">
            <w:pPr>
              <w:jc w:val="right"/>
            </w:pPr>
            <w:r>
              <w:rPr>
                <w:rFonts w:hint="eastAsia"/>
              </w:rPr>
              <w:t>0</w:t>
            </w:r>
          </w:p>
        </w:tc>
        <w:tc>
          <w:tcPr>
            <w:tcW w:w="2410" w:type="dxa"/>
            <w:vAlign w:val="center"/>
          </w:tcPr>
          <w:p w:rsidR="00093197" w:rsidRDefault="00093197" w:rsidP="001F45E0">
            <w:pPr>
              <w:jc w:val="right"/>
            </w:pPr>
            <w:r>
              <w:t>0</w:t>
            </w:r>
          </w:p>
        </w:tc>
      </w:tr>
      <w:tr w:rsidR="00093197" w:rsidTr="00093197">
        <w:tc>
          <w:tcPr>
            <w:tcW w:w="2123" w:type="dxa"/>
          </w:tcPr>
          <w:p w:rsidR="00093197" w:rsidRDefault="00093197" w:rsidP="00242B8E">
            <w:r>
              <w:rPr>
                <w:rFonts w:hint="eastAsia"/>
              </w:rPr>
              <w:t>標準財政規模（千円）（C</w:t>
            </w:r>
            <w:r>
              <w:t>）</w:t>
            </w:r>
          </w:p>
        </w:tc>
        <w:tc>
          <w:tcPr>
            <w:tcW w:w="2408" w:type="dxa"/>
            <w:vAlign w:val="center"/>
          </w:tcPr>
          <w:p w:rsidR="00093197" w:rsidRDefault="00093197" w:rsidP="001F45E0">
            <w:pPr>
              <w:jc w:val="right"/>
            </w:pPr>
            <w:r>
              <w:rPr>
                <w:rFonts w:hint="eastAsia"/>
              </w:rPr>
              <w:t>2,699,066</w:t>
            </w:r>
          </w:p>
        </w:tc>
        <w:tc>
          <w:tcPr>
            <w:tcW w:w="2410" w:type="dxa"/>
            <w:vAlign w:val="center"/>
          </w:tcPr>
          <w:p w:rsidR="00093197" w:rsidRDefault="00093197" w:rsidP="001F45E0">
            <w:pPr>
              <w:jc w:val="right"/>
            </w:pPr>
            <w:r>
              <w:rPr>
                <w:rFonts w:hint="eastAsia"/>
              </w:rPr>
              <w:t>2,647,422</w:t>
            </w:r>
          </w:p>
        </w:tc>
      </w:tr>
      <w:tr w:rsidR="00093197" w:rsidTr="00093197">
        <w:tc>
          <w:tcPr>
            <w:tcW w:w="2123" w:type="dxa"/>
          </w:tcPr>
          <w:p w:rsidR="00093197" w:rsidRDefault="00093197" w:rsidP="00242B8E">
            <w:r>
              <w:rPr>
                <w:rFonts w:hint="eastAsia"/>
              </w:rPr>
              <w:t>実質赤字比率（％）</w:t>
            </w:r>
          </w:p>
        </w:tc>
        <w:tc>
          <w:tcPr>
            <w:tcW w:w="2408" w:type="dxa"/>
            <w:vAlign w:val="center"/>
          </w:tcPr>
          <w:p w:rsidR="00093197" w:rsidRDefault="00093197" w:rsidP="001F45E0">
            <w:pPr>
              <w:jc w:val="center"/>
            </w:pPr>
            <w:r>
              <w:rPr>
                <w:rFonts w:hint="eastAsia"/>
              </w:rPr>
              <w:t>―</w:t>
            </w:r>
          </w:p>
        </w:tc>
        <w:tc>
          <w:tcPr>
            <w:tcW w:w="2410" w:type="dxa"/>
            <w:vAlign w:val="center"/>
          </w:tcPr>
          <w:p w:rsidR="00093197" w:rsidRDefault="00093197" w:rsidP="001F45E0">
            <w:pPr>
              <w:jc w:val="center"/>
            </w:pPr>
            <w:r>
              <w:rPr>
                <w:rFonts w:hint="eastAsia"/>
              </w:rPr>
              <w:t>―</w:t>
            </w:r>
          </w:p>
        </w:tc>
      </w:tr>
      <w:tr w:rsidR="00093197" w:rsidTr="00093197">
        <w:tc>
          <w:tcPr>
            <w:tcW w:w="2123" w:type="dxa"/>
          </w:tcPr>
          <w:p w:rsidR="00093197" w:rsidRDefault="00093197" w:rsidP="00242B8E">
            <w:r>
              <w:rPr>
                <w:rFonts w:hint="eastAsia"/>
              </w:rPr>
              <w:t>（A</w:t>
            </w:r>
            <w:r>
              <w:t>）</w:t>
            </w:r>
            <w:r>
              <w:rPr>
                <w:rFonts w:hint="eastAsia"/>
              </w:rPr>
              <w:t>／（C</w:t>
            </w:r>
            <w:r>
              <w:t>）</w:t>
            </w:r>
            <w:r>
              <w:rPr>
                <w:rFonts w:hint="eastAsia"/>
              </w:rPr>
              <w:t>（％）</w:t>
            </w:r>
          </w:p>
        </w:tc>
        <w:tc>
          <w:tcPr>
            <w:tcW w:w="2408" w:type="dxa"/>
            <w:vAlign w:val="center"/>
          </w:tcPr>
          <w:p w:rsidR="00093197" w:rsidRDefault="00093197" w:rsidP="001F45E0">
            <w:pPr>
              <w:jc w:val="center"/>
            </w:pPr>
            <w:r>
              <w:rPr>
                <w:rFonts w:hint="eastAsia"/>
              </w:rPr>
              <w:t>―</w:t>
            </w:r>
          </w:p>
        </w:tc>
        <w:tc>
          <w:tcPr>
            <w:tcW w:w="2410" w:type="dxa"/>
            <w:vAlign w:val="center"/>
          </w:tcPr>
          <w:p w:rsidR="00093197" w:rsidRDefault="00093197" w:rsidP="001F45E0">
            <w:pPr>
              <w:jc w:val="center"/>
            </w:pPr>
            <w:r>
              <w:rPr>
                <w:rFonts w:hint="eastAsia"/>
              </w:rPr>
              <w:t>―</w:t>
            </w:r>
          </w:p>
        </w:tc>
      </w:tr>
      <w:tr w:rsidR="00093197" w:rsidTr="00093197">
        <w:tc>
          <w:tcPr>
            <w:tcW w:w="2123" w:type="dxa"/>
          </w:tcPr>
          <w:p w:rsidR="00093197" w:rsidRDefault="00093197" w:rsidP="00242B8E">
            <w:r>
              <w:rPr>
                <w:rFonts w:hint="eastAsia"/>
              </w:rPr>
              <w:t>（B</w:t>
            </w:r>
            <w:r>
              <w:t>）</w:t>
            </w:r>
            <w:r>
              <w:rPr>
                <w:rFonts w:hint="eastAsia"/>
              </w:rPr>
              <w:t>／（C</w:t>
            </w:r>
            <w:r>
              <w:t>）</w:t>
            </w:r>
            <w:r>
              <w:rPr>
                <w:rFonts w:hint="eastAsia"/>
              </w:rPr>
              <w:t>（％）</w:t>
            </w:r>
          </w:p>
        </w:tc>
        <w:tc>
          <w:tcPr>
            <w:tcW w:w="2408" w:type="dxa"/>
            <w:vAlign w:val="center"/>
          </w:tcPr>
          <w:p w:rsidR="00093197" w:rsidRDefault="00093197" w:rsidP="001F45E0">
            <w:pPr>
              <w:jc w:val="center"/>
            </w:pPr>
            <w:r>
              <w:rPr>
                <w:rFonts w:hint="eastAsia"/>
              </w:rPr>
              <w:t>―</w:t>
            </w:r>
          </w:p>
        </w:tc>
        <w:tc>
          <w:tcPr>
            <w:tcW w:w="2410" w:type="dxa"/>
            <w:vAlign w:val="center"/>
          </w:tcPr>
          <w:p w:rsidR="00093197" w:rsidRDefault="00093197" w:rsidP="001F45E0">
            <w:pPr>
              <w:jc w:val="center"/>
            </w:pPr>
            <w:r>
              <w:rPr>
                <w:rFonts w:hint="eastAsia"/>
              </w:rPr>
              <w:t>―</w:t>
            </w:r>
          </w:p>
        </w:tc>
      </w:tr>
    </w:tbl>
    <w:p w:rsidR="00242B8E" w:rsidRDefault="00242B8E" w:rsidP="00242B8E"/>
    <w:p w:rsidR="003F779E" w:rsidRDefault="003F779E" w:rsidP="00242B8E"/>
    <w:p w:rsidR="003F779E" w:rsidRDefault="003F779E" w:rsidP="00242B8E"/>
    <w:p w:rsidR="003F779E" w:rsidRDefault="003F779E" w:rsidP="00242B8E"/>
    <w:p w:rsidR="003F779E" w:rsidRDefault="003F779E" w:rsidP="00242B8E"/>
    <w:p w:rsidR="00791E21" w:rsidRDefault="00791E21" w:rsidP="00242B8E">
      <w:r>
        <w:rPr>
          <w:rFonts w:hint="eastAsia"/>
        </w:rPr>
        <w:lastRenderedPageBreak/>
        <w:t>〇主な取組状況（令和2年３月現在）</w:t>
      </w:r>
    </w:p>
    <w:p w:rsidR="00791E21" w:rsidRDefault="003F779E" w:rsidP="00242B8E">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6350</wp:posOffset>
                </wp:positionV>
                <wp:extent cx="5276850" cy="2914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276850" cy="2914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1250" id="正方形/長方形 2" o:spid="_x0000_s1026" style="position:absolute;left:0;text-align:left;margin-left:0;margin-top:.5pt;width:415.5pt;height:22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" filled="f" strokecolor="#1f4d78 [1604]" strokeweight="1pt">
                <w10:wrap anchorx="margin"/>
              </v:rect>
            </w:pict>
          </mc:Fallback>
        </mc:AlternateContent>
      </w:r>
      <w:r w:rsidR="00791E21">
        <w:rPr>
          <w:rFonts w:hint="eastAsia"/>
        </w:rPr>
        <w:t>【法人自らによる経営健全化のための具体的な対応】</w:t>
      </w:r>
    </w:p>
    <w:p w:rsidR="00791E21" w:rsidRDefault="005F02E3" w:rsidP="00242B8E">
      <w:r>
        <w:rPr>
          <w:rFonts w:hint="eastAsia"/>
        </w:rPr>
        <w:t>・使用していない</w:t>
      </w:r>
      <w:r w:rsidR="00145D2C">
        <w:rPr>
          <w:rFonts w:hint="eastAsia"/>
        </w:rPr>
        <w:t>農業用機械の処分を行った。</w:t>
      </w:r>
    </w:p>
    <w:p w:rsidR="00E05B5D" w:rsidRDefault="00E05B5D" w:rsidP="00242B8E">
      <w:r>
        <w:rPr>
          <w:rFonts w:hint="eastAsia"/>
        </w:rPr>
        <w:t>・農業用機械の修理については、簡易なものは業者に依頼せず、部品を取り寄せて、</w:t>
      </w:r>
    </w:p>
    <w:p w:rsidR="00E05B5D" w:rsidRPr="00791E21" w:rsidRDefault="00E05B5D" w:rsidP="00242B8E">
      <w:r>
        <w:rPr>
          <w:rFonts w:hint="eastAsia"/>
        </w:rPr>
        <w:t>自分達で修理するようにした。</w:t>
      </w:r>
    </w:p>
    <w:p w:rsidR="00F06A1E" w:rsidRDefault="00145D2C" w:rsidP="00242B8E">
      <w:r>
        <w:rPr>
          <w:rFonts w:hint="eastAsia"/>
        </w:rPr>
        <w:t>・</w:t>
      </w:r>
      <w:r w:rsidR="00221261">
        <w:rPr>
          <w:rFonts w:hint="eastAsia"/>
        </w:rPr>
        <w:t>本町に適した農作物</w:t>
      </w:r>
      <w:r w:rsidR="00F06A1E">
        <w:rPr>
          <w:rFonts w:hint="eastAsia"/>
        </w:rPr>
        <w:t>を農家に普及させるため</w:t>
      </w:r>
      <w:r w:rsidR="00221261">
        <w:rPr>
          <w:rFonts w:hint="eastAsia"/>
        </w:rPr>
        <w:t>、</w:t>
      </w:r>
      <w:r w:rsidR="00855498">
        <w:rPr>
          <w:rFonts w:hint="eastAsia"/>
        </w:rPr>
        <w:t>県の補助事業を活用し、</w:t>
      </w:r>
      <w:r>
        <w:rPr>
          <w:rFonts w:hint="eastAsia"/>
        </w:rPr>
        <w:t>新たな作物</w:t>
      </w:r>
    </w:p>
    <w:p w:rsidR="00E05B5D" w:rsidRDefault="00145D2C" w:rsidP="00242B8E">
      <w:r>
        <w:rPr>
          <w:rFonts w:hint="eastAsia"/>
        </w:rPr>
        <w:t>（へべす）の試験</w:t>
      </w:r>
      <w:r w:rsidR="00A75B51">
        <w:rPr>
          <w:rFonts w:hint="eastAsia"/>
        </w:rPr>
        <w:t>栽培（10ａ）を行う。（3月定植</w:t>
      </w:r>
      <w:r w:rsidR="00F06A1E">
        <w:rPr>
          <w:rFonts w:hint="eastAsia"/>
        </w:rPr>
        <w:t>予定</w:t>
      </w:r>
      <w:r w:rsidR="00A75B51">
        <w:rPr>
          <w:rFonts w:hint="eastAsia"/>
        </w:rPr>
        <w:t>）</w:t>
      </w:r>
    </w:p>
    <w:p w:rsidR="00791E21" w:rsidRDefault="003F779E" w:rsidP="00242B8E">
      <w:r>
        <w:rPr>
          <w:rFonts w:hint="eastAsia"/>
        </w:rPr>
        <w:t>【地方公共団体におる財政的なリスクへの対処のための対応】</w:t>
      </w:r>
    </w:p>
    <w:p w:rsidR="00221261" w:rsidRDefault="00221261" w:rsidP="00242B8E">
      <w:r>
        <w:rPr>
          <w:rFonts w:hint="eastAsia"/>
        </w:rPr>
        <w:t>・平成29年度まで、町からの補助金をすべて特別利益として計上していたが、</w:t>
      </w:r>
      <w:r w:rsidR="00C45966">
        <w:rPr>
          <w:rFonts w:hint="eastAsia"/>
        </w:rPr>
        <w:t>平成30</w:t>
      </w:r>
    </w:p>
    <w:p w:rsidR="00C45966" w:rsidRDefault="00C45966" w:rsidP="00242B8E">
      <w:r>
        <w:rPr>
          <w:rFonts w:hint="eastAsia"/>
        </w:rPr>
        <w:t>年度決算から、町の運営補助金については営業外収益に計上し、それ以外の補助金を</w:t>
      </w:r>
    </w:p>
    <w:p w:rsidR="00C45966" w:rsidRDefault="00C45966" w:rsidP="00242B8E">
      <w:r>
        <w:rPr>
          <w:rFonts w:hint="eastAsia"/>
        </w:rPr>
        <w:t>特別補助金</w:t>
      </w:r>
      <w:r w:rsidR="00672403">
        <w:rPr>
          <w:rFonts w:hint="eastAsia"/>
        </w:rPr>
        <w:t>で計上するようにした。</w:t>
      </w:r>
    </w:p>
    <w:p w:rsidR="00E05B5D" w:rsidRDefault="00E05B5D" w:rsidP="00242B8E">
      <w:r>
        <w:rPr>
          <w:rFonts w:hint="eastAsia"/>
        </w:rPr>
        <w:t>・毎年3月に「管理運営委員会」を開催しているが、今年度は新型コロナウイルス感染</w:t>
      </w:r>
    </w:p>
    <w:p w:rsidR="00E05B5D" w:rsidRDefault="00E05B5D" w:rsidP="00242B8E">
      <w:r>
        <w:rPr>
          <w:rFonts w:hint="eastAsia"/>
        </w:rPr>
        <w:t>拡大防止の観点から、中止とした。</w:t>
      </w:r>
    </w:p>
    <w:p w:rsidR="00E05B5D" w:rsidRDefault="00E05B5D" w:rsidP="00242B8E"/>
    <w:p w:rsidR="00CC3990" w:rsidRDefault="00CC3990" w:rsidP="00242B8E"/>
    <w:p w:rsidR="00791E21" w:rsidRDefault="003F779E" w:rsidP="00242B8E">
      <w:r>
        <w:rPr>
          <w:rFonts w:hint="eastAsia"/>
        </w:rPr>
        <w:t>〇法人の財務状況</w:t>
      </w:r>
    </w:p>
    <w:p w:rsidR="003F779E" w:rsidRDefault="003F779E" w:rsidP="00242B8E">
      <w:r>
        <w:rPr>
          <w:rFonts w:hint="eastAsia"/>
        </w:rPr>
        <w:t>（貸借</w:t>
      </w:r>
      <w:r w:rsidR="00BD7561">
        <w:rPr>
          <w:rFonts w:hint="eastAsia"/>
        </w:rPr>
        <w:t>対照</w:t>
      </w:r>
      <w:r>
        <w:rPr>
          <w:rFonts w:hint="eastAsia"/>
        </w:rPr>
        <w:t>表から）</w:t>
      </w:r>
      <w:r w:rsidR="00093197">
        <w:rPr>
          <w:rFonts w:hint="eastAsia"/>
        </w:rPr>
        <w:t xml:space="preserve">　　　　　　　　　　　　　　　　</w:t>
      </w:r>
      <w:r w:rsidR="00067187">
        <w:rPr>
          <w:rFonts w:hint="eastAsia"/>
        </w:rPr>
        <w:t xml:space="preserve">　　</w:t>
      </w:r>
      <w:r w:rsidR="00892A49">
        <w:rPr>
          <w:rFonts w:hint="eastAsia"/>
        </w:rPr>
        <w:t>単位：千円</w:t>
      </w:r>
    </w:p>
    <w:tbl>
      <w:tblPr>
        <w:tblStyle w:val="a3"/>
        <w:tblW w:w="0" w:type="auto"/>
        <w:tblLook w:val="04A0" w:firstRow="1" w:lastRow="0" w:firstColumn="1" w:lastColumn="0" w:noHBand="0" w:noVBand="1"/>
      </w:tblPr>
      <w:tblGrid>
        <w:gridCol w:w="2123"/>
        <w:gridCol w:w="2408"/>
        <w:gridCol w:w="2410"/>
      </w:tblGrid>
      <w:tr w:rsidR="00093197" w:rsidTr="00093197">
        <w:tc>
          <w:tcPr>
            <w:tcW w:w="2123" w:type="dxa"/>
          </w:tcPr>
          <w:p w:rsidR="00093197" w:rsidRDefault="00093197" w:rsidP="00242B8E"/>
        </w:tc>
        <w:tc>
          <w:tcPr>
            <w:tcW w:w="2408" w:type="dxa"/>
          </w:tcPr>
          <w:p w:rsidR="00093197" w:rsidRDefault="00093197" w:rsidP="00067187">
            <w:pPr>
              <w:jc w:val="center"/>
            </w:pPr>
            <w:r>
              <w:rPr>
                <w:rFonts w:hint="eastAsia"/>
              </w:rPr>
              <w:t>平成29年度決算</w:t>
            </w:r>
          </w:p>
        </w:tc>
        <w:tc>
          <w:tcPr>
            <w:tcW w:w="2410" w:type="dxa"/>
          </w:tcPr>
          <w:p w:rsidR="00093197" w:rsidRDefault="00093197" w:rsidP="00067187">
            <w:pPr>
              <w:jc w:val="center"/>
            </w:pPr>
            <w:r>
              <w:rPr>
                <w:rFonts w:hint="eastAsia"/>
              </w:rPr>
              <w:t>平成30年度決算</w:t>
            </w:r>
          </w:p>
        </w:tc>
      </w:tr>
      <w:tr w:rsidR="00093197" w:rsidTr="00093197">
        <w:tc>
          <w:tcPr>
            <w:tcW w:w="2123" w:type="dxa"/>
          </w:tcPr>
          <w:p w:rsidR="00093197" w:rsidRDefault="00093197" w:rsidP="00242B8E">
            <w:r>
              <w:rPr>
                <w:rFonts w:hint="eastAsia"/>
              </w:rPr>
              <w:t>資産総額</w:t>
            </w:r>
          </w:p>
        </w:tc>
        <w:tc>
          <w:tcPr>
            <w:tcW w:w="2408" w:type="dxa"/>
          </w:tcPr>
          <w:p w:rsidR="00093197" w:rsidRDefault="00093197" w:rsidP="00892A49">
            <w:pPr>
              <w:jc w:val="right"/>
            </w:pPr>
            <w:r>
              <w:rPr>
                <w:rFonts w:hint="eastAsia"/>
              </w:rPr>
              <w:t>32,209</w:t>
            </w:r>
          </w:p>
        </w:tc>
        <w:tc>
          <w:tcPr>
            <w:tcW w:w="2410" w:type="dxa"/>
          </w:tcPr>
          <w:p w:rsidR="00093197" w:rsidRDefault="00093197" w:rsidP="00892A49">
            <w:pPr>
              <w:jc w:val="right"/>
            </w:pPr>
            <w:r>
              <w:rPr>
                <w:rFonts w:hint="eastAsia"/>
              </w:rPr>
              <w:t>35,631</w:t>
            </w:r>
          </w:p>
        </w:tc>
      </w:tr>
      <w:tr w:rsidR="00093197" w:rsidTr="00093197">
        <w:tc>
          <w:tcPr>
            <w:tcW w:w="2123" w:type="dxa"/>
          </w:tcPr>
          <w:p w:rsidR="00093197" w:rsidRDefault="00093197" w:rsidP="00242B8E">
            <w:r>
              <w:rPr>
                <w:rFonts w:hint="eastAsia"/>
              </w:rPr>
              <w:t>（うち現預金）</w:t>
            </w:r>
          </w:p>
        </w:tc>
        <w:tc>
          <w:tcPr>
            <w:tcW w:w="2408" w:type="dxa"/>
          </w:tcPr>
          <w:p w:rsidR="00093197" w:rsidRDefault="00093197" w:rsidP="00682287">
            <w:pPr>
              <w:jc w:val="right"/>
            </w:pPr>
            <w:r>
              <w:rPr>
                <w:rFonts w:hint="eastAsia"/>
              </w:rPr>
              <w:t>19,458</w:t>
            </w:r>
          </w:p>
        </w:tc>
        <w:tc>
          <w:tcPr>
            <w:tcW w:w="2410" w:type="dxa"/>
          </w:tcPr>
          <w:p w:rsidR="00093197" w:rsidRDefault="00093197" w:rsidP="00682287">
            <w:pPr>
              <w:jc w:val="right"/>
            </w:pPr>
            <w:r>
              <w:rPr>
                <w:rFonts w:hint="eastAsia"/>
              </w:rPr>
              <w:t>23,997</w:t>
            </w:r>
          </w:p>
        </w:tc>
      </w:tr>
      <w:tr w:rsidR="00093197" w:rsidTr="00093197">
        <w:tc>
          <w:tcPr>
            <w:tcW w:w="2123" w:type="dxa"/>
          </w:tcPr>
          <w:p w:rsidR="00093197" w:rsidRDefault="00093197" w:rsidP="00242B8E">
            <w:r>
              <w:rPr>
                <w:rFonts w:hint="eastAsia"/>
              </w:rPr>
              <w:t>（うち売上債権）</w:t>
            </w:r>
          </w:p>
        </w:tc>
        <w:tc>
          <w:tcPr>
            <w:tcW w:w="2408" w:type="dxa"/>
          </w:tcPr>
          <w:p w:rsidR="00093197" w:rsidRDefault="00093197" w:rsidP="00682287">
            <w:pPr>
              <w:jc w:val="right"/>
            </w:pPr>
            <w:r>
              <w:rPr>
                <w:rFonts w:hint="eastAsia"/>
              </w:rPr>
              <w:t>1,9</w:t>
            </w:r>
            <w:r w:rsidR="00067187">
              <w:rPr>
                <w:rFonts w:hint="eastAsia"/>
              </w:rPr>
              <w:t>63</w:t>
            </w:r>
          </w:p>
        </w:tc>
        <w:tc>
          <w:tcPr>
            <w:tcW w:w="2410" w:type="dxa"/>
          </w:tcPr>
          <w:p w:rsidR="00093197" w:rsidRDefault="00093197" w:rsidP="00682287">
            <w:pPr>
              <w:jc w:val="right"/>
            </w:pPr>
            <w:r>
              <w:rPr>
                <w:rFonts w:hint="eastAsia"/>
              </w:rPr>
              <w:t>1,9</w:t>
            </w:r>
            <w:r w:rsidR="00067187">
              <w:rPr>
                <w:rFonts w:hint="eastAsia"/>
              </w:rPr>
              <w:t>3</w:t>
            </w:r>
            <w:r>
              <w:rPr>
                <w:rFonts w:hint="eastAsia"/>
              </w:rPr>
              <w:t>9</w:t>
            </w:r>
          </w:p>
        </w:tc>
      </w:tr>
      <w:tr w:rsidR="00093197" w:rsidTr="00093197">
        <w:tc>
          <w:tcPr>
            <w:tcW w:w="2123" w:type="dxa"/>
          </w:tcPr>
          <w:p w:rsidR="00093197" w:rsidRDefault="00093197" w:rsidP="00242B8E">
            <w:r>
              <w:rPr>
                <w:rFonts w:hint="eastAsia"/>
              </w:rPr>
              <w:t>（うち棚卸資産）</w:t>
            </w:r>
          </w:p>
        </w:tc>
        <w:tc>
          <w:tcPr>
            <w:tcW w:w="2408" w:type="dxa"/>
          </w:tcPr>
          <w:p w:rsidR="00093197" w:rsidRDefault="00093197" w:rsidP="00682287">
            <w:pPr>
              <w:jc w:val="right"/>
            </w:pPr>
            <w:r>
              <w:rPr>
                <w:rFonts w:hint="eastAsia"/>
              </w:rPr>
              <w:t>0</w:t>
            </w:r>
          </w:p>
        </w:tc>
        <w:tc>
          <w:tcPr>
            <w:tcW w:w="2410" w:type="dxa"/>
          </w:tcPr>
          <w:p w:rsidR="00093197" w:rsidRDefault="00093197" w:rsidP="00776D5B">
            <w:pPr>
              <w:jc w:val="right"/>
            </w:pPr>
            <w:r>
              <w:rPr>
                <w:rFonts w:hint="eastAsia"/>
              </w:rPr>
              <w:t>0</w:t>
            </w:r>
          </w:p>
        </w:tc>
      </w:tr>
      <w:tr w:rsidR="00093197" w:rsidTr="00093197">
        <w:tc>
          <w:tcPr>
            <w:tcW w:w="2123" w:type="dxa"/>
          </w:tcPr>
          <w:p w:rsidR="00093197" w:rsidRDefault="00093197" w:rsidP="00242B8E">
            <w:r>
              <w:rPr>
                <w:rFonts w:hint="eastAsia"/>
              </w:rPr>
              <w:t>負債総額</w:t>
            </w:r>
          </w:p>
        </w:tc>
        <w:tc>
          <w:tcPr>
            <w:tcW w:w="2408" w:type="dxa"/>
          </w:tcPr>
          <w:p w:rsidR="00093197" w:rsidRDefault="00093197" w:rsidP="00892A49">
            <w:pPr>
              <w:jc w:val="right"/>
            </w:pPr>
            <w:r>
              <w:rPr>
                <w:rFonts w:hint="eastAsia"/>
              </w:rPr>
              <w:t>2,175</w:t>
            </w:r>
          </w:p>
        </w:tc>
        <w:tc>
          <w:tcPr>
            <w:tcW w:w="2410" w:type="dxa"/>
          </w:tcPr>
          <w:p w:rsidR="00093197" w:rsidRDefault="00093197" w:rsidP="00892A49">
            <w:pPr>
              <w:jc w:val="right"/>
            </w:pPr>
            <w:r>
              <w:rPr>
                <w:rFonts w:hint="eastAsia"/>
              </w:rPr>
              <w:t>1,120</w:t>
            </w:r>
          </w:p>
        </w:tc>
      </w:tr>
      <w:tr w:rsidR="00093197" w:rsidTr="00093197">
        <w:tc>
          <w:tcPr>
            <w:tcW w:w="2123" w:type="dxa"/>
          </w:tcPr>
          <w:p w:rsidR="00093197" w:rsidRDefault="00093197" w:rsidP="00242B8E">
            <w:r>
              <w:rPr>
                <w:rFonts w:hint="eastAsia"/>
              </w:rPr>
              <w:t>（うち当該地方公共</w:t>
            </w:r>
          </w:p>
          <w:p w:rsidR="00093197" w:rsidRDefault="00093197" w:rsidP="00242B8E">
            <w:r>
              <w:rPr>
                <w:rFonts w:hint="eastAsia"/>
              </w:rPr>
              <w:t>団体からの借入金）</w:t>
            </w:r>
          </w:p>
        </w:tc>
        <w:tc>
          <w:tcPr>
            <w:tcW w:w="2408" w:type="dxa"/>
          </w:tcPr>
          <w:p w:rsidR="00093197" w:rsidRDefault="00093197" w:rsidP="00242B8E"/>
          <w:p w:rsidR="00093197" w:rsidRDefault="00093197" w:rsidP="00892A49">
            <w:pPr>
              <w:jc w:val="right"/>
            </w:pPr>
            <w:r>
              <w:rPr>
                <w:rFonts w:hint="eastAsia"/>
              </w:rPr>
              <w:t>0</w:t>
            </w:r>
          </w:p>
        </w:tc>
        <w:tc>
          <w:tcPr>
            <w:tcW w:w="2410" w:type="dxa"/>
          </w:tcPr>
          <w:p w:rsidR="00093197" w:rsidRDefault="00093197" w:rsidP="00242B8E"/>
          <w:p w:rsidR="00093197" w:rsidRDefault="00093197" w:rsidP="00892A49">
            <w:pPr>
              <w:jc w:val="right"/>
            </w:pPr>
            <w:r>
              <w:rPr>
                <w:rFonts w:hint="eastAsia"/>
              </w:rPr>
              <w:t>0</w:t>
            </w:r>
          </w:p>
        </w:tc>
      </w:tr>
      <w:tr w:rsidR="00093197" w:rsidTr="00093197">
        <w:tc>
          <w:tcPr>
            <w:tcW w:w="2123" w:type="dxa"/>
          </w:tcPr>
          <w:p w:rsidR="00093197" w:rsidRDefault="00093197" w:rsidP="00242B8E">
            <w:r>
              <w:rPr>
                <w:rFonts w:hint="eastAsia"/>
              </w:rPr>
              <w:t>純資産総額</w:t>
            </w:r>
          </w:p>
        </w:tc>
        <w:tc>
          <w:tcPr>
            <w:tcW w:w="2408" w:type="dxa"/>
          </w:tcPr>
          <w:p w:rsidR="00093197" w:rsidRDefault="00093197" w:rsidP="00892A49">
            <w:pPr>
              <w:jc w:val="right"/>
            </w:pPr>
            <w:r>
              <w:rPr>
                <w:rFonts w:hint="eastAsia"/>
              </w:rPr>
              <w:t>30,034</w:t>
            </w:r>
          </w:p>
        </w:tc>
        <w:tc>
          <w:tcPr>
            <w:tcW w:w="2410" w:type="dxa"/>
          </w:tcPr>
          <w:p w:rsidR="00093197" w:rsidRDefault="00093197" w:rsidP="00892A49">
            <w:pPr>
              <w:jc w:val="right"/>
            </w:pPr>
            <w:r>
              <w:rPr>
                <w:rFonts w:hint="eastAsia"/>
              </w:rPr>
              <w:t>34,511</w:t>
            </w:r>
          </w:p>
        </w:tc>
      </w:tr>
    </w:tbl>
    <w:p w:rsidR="003F779E" w:rsidRDefault="003F779E" w:rsidP="00242B8E"/>
    <w:p w:rsidR="00892A49" w:rsidRDefault="003F779E" w:rsidP="00242B8E">
      <w:r>
        <w:rPr>
          <w:rFonts w:hint="eastAsia"/>
        </w:rPr>
        <w:t>（損益計算書から）</w:t>
      </w:r>
      <w:r w:rsidR="00093197">
        <w:rPr>
          <w:rFonts w:hint="eastAsia"/>
        </w:rPr>
        <w:t xml:space="preserve">　　　　　　　　　　　　　</w:t>
      </w:r>
      <w:r w:rsidR="00892A49">
        <w:rPr>
          <w:rFonts w:hint="eastAsia"/>
        </w:rPr>
        <w:t xml:space="preserve">　　　</w:t>
      </w:r>
      <w:r w:rsidR="00067187">
        <w:rPr>
          <w:rFonts w:hint="eastAsia"/>
        </w:rPr>
        <w:t xml:space="preserve">　　</w:t>
      </w:r>
      <w:r w:rsidR="00892A49">
        <w:rPr>
          <w:rFonts w:hint="eastAsia"/>
        </w:rPr>
        <w:t>単位：千円</w:t>
      </w:r>
    </w:p>
    <w:tbl>
      <w:tblPr>
        <w:tblStyle w:val="a3"/>
        <w:tblW w:w="0" w:type="auto"/>
        <w:tblLook w:val="04A0" w:firstRow="1" w:lastRow="0" w:firstColumn="1" w:lastColumn="0" w:noHBand="0" w:noVBand="1"/>
      </w:tblPr>
      <w:tblGrid>
        <w:gridCol w:w="2123"/>
        <w:gridCol w:w="2408"/>
        <w:gridCol w:w="2410"/>
      </w:tblGrid>
      <w:tr w:rsidR="00093197" w:rsidTr="00093197">
        <w:tc>
          <w:tcPr>
            <w:tcW w:w="2123" w:type="dxa"/>
          </w:tcPr>
          <w:p w:rsidR="00093197" w:rsidRDefault="00093197" w:rsidP="00242B8E"/>
        </w:tc>
        <w:tc>
          <w:tcPr>
            <w:tcW w:w="2408" w:type="dxa"/>
          </w:tcPr>
          <w:p w:rsidR="00093197" w:rsidRDefault="00093197" w:rsidP="00067187">
            <w:pPr>
              <w:jc w:val="center"/>
            </w:pPr>
            <w:r>
              <w:rPr>
                <w:rFonts w:hint="eastAsia"/>
              </w:rPr>
              <w:t>平成29年度決算</w:t>
            </w:r>
          </w:p>
        </w:tc>
        <w:tc>
          <w:tcPr>
            <w:tcW w:w="2410" w:type="dxa"/>
          </w:tcPr>
          <w:p w:rsidR="00093197" w:rsidRDefault="00093197" w:rsidP="00067187">
            <w:pPr>
              <w:jc w:val="center"/>
            </w:pPr>
            <w:r>
              <w:rPr>
                <w:rFonts w:hint="eastAsia"/>
              </w:rPr>
              <w:t>平成30年度決算</w:t>
            </w:r>
          </w:p>
        </w:tc>
      </w:tr>
      <w:tr w:rsidR="00093197" w:rsidTr="00093197">
        <w:tc>
          <w:tcPr>
            <w:tcW w:w="2123" w:type="dxa"/>
          </w:tcPr>
          <w:p w:rsidR="00093197" w:rsidRDefault="00093197" w:rsidP="00242B8E">
            <w:r>
              <w:rPr>
                <w:rFonts w:hint="eastAsia"/>
              </w:rPr>
              <w:t>経常収益</w:t>
            </w:r>
          </w:p>
        </w:tc>
        <w:tc>
          <w:tcPr>
            <w:tcW w:w="2408" w:type="dxa"/>
          </w:tcPr>
          <w:p w:rsidR="00093197" w:rsidRDefault="00093197" w:rsidP="00892A49">
            <w:pPr>
              <w:jc w:val="right"/>
            </w:pPr>
            <w:r>
              <w:rPr>
                <w:rFonts w:hint="eastAsia"/>
              </w:rPr>
              <w:t>12,294</w:t>
            </w:r>
          </w:p>
        </w:tc>
        <w:tc>
          <w:tcPr>
            <w:tcW w:w="2410" w:type="dxa"/>
          </w:tcPr>
          <w:p w:rsidR="00093197" w:rsidRDefault="00093197" w:rsidP="005F02E3">
            <w:pPr>
              <w:jc w:val="right"/>
            </w:pPr>
            <w:r>
              <w:rPr>
                <w:rFonts w:hint="eastAsia"/>
              </w:rPr>
              <w:t>11,787</w:t>
            </w:r>
          </w:p>
        </w:tc>
      </w:tr>
      <w:tr w:rsidR="00093197" w:rsidTr="00093197">
        <w:tc>
          <w:tcPr>
            <w:tcW w:w="2123" w:type="dxa"/>
          </w:tcPr>
          <w:p w:rsidR="00093197" w:rsidRDefault="00093197" w:rsidP="00242B8E">
            <w:r>
              <w:rPr>
                <w:rFonts w:hint="eastAsia"/>
              </w:rPr>
              <w:t>経常費用</w:t>
            </w:r>
          </w:p>
        </w:tc>
        <w:tc>
          <w:tcPr>
            <w:tcW w:w="2408" w:type="dxa"/>
          </w:tcPr>
          <w:p w:rsidR="00093197" w:rsidRDefault="00093197" w:rsidP="00892A49">
            <w:pPr>
              <w:jc w:val="right"/>
            </w:pPr>
            <w:r>
              <w:rPr>
                <w:rFonts w:hint="eastAsia"/>
              </w:rPr>
              <w:t>15,225</w:t>
            </w:r>
          </w:p>
        </w:tc>
        <w:tc>
          <w:tcPr>
            <w:tcW w:w="2410" w:type="dxa"/>
          </w:tcPr>
          <w:p w:rsidR="00093197" w:rsidRDefault="00093197" w:rsidP="005F02E3">
            <w:pPr>
              <w:jc w:val="right"/>
            </w:pPr>
            <w:r>
              <w:rPr>
                <w:rFonts w:hint="eastAsia"/>
              </w:rPr>
              <w:t>17,127</w:t>
            </w:r>
          </w:p>
        </w:tc>
      </w:tr>
      <w:tr w:rsidR="00093197" w:rsidTr="00093197">
        <w:tc>
          <w:tcPr>
            <w:tcW w:w="2123" w:type="dxa"/>
          </w:tcPr>
          <w:p w:rsidR="00093197" w:rsidRDefault="00E74669" w:rsidP="00242B8E">
            <w:r>
              <w:rPr>
                <w:rFonts w:hint="eastAsia"/>
              </w:rPr>
              <w:t>営業損失</w:t>
            </w:r>
          </w:p>
        </w:tc>
        <w:tc>
          <w:tcPr>
            <w:tcW w:w="2408" w:type="dxa"/>
          </w:tcPr>
          <w:p w:rsidR="00093197" w:rsidRPr="00CC3990" w:rsidRDefault="00093197" w:rsidP="005F02E3">
            <w:pPr>
              <w:jc w:val="right"/>
              <w:rPr>
                <w:rFonts w:eastAsiaTheme="minorHAnsi"/>
              </w:rPr>
            </w:pPr>
            <w:r w:rsidRPr="00CC3990">
              <w:rPr>
                <w:rFonts w:eastAsiaTheme="minorHAnsi" w:cs="ＭＳ 明朝" w:hint="eastAsia"/>
              </w:rPr>
              <w:t>2,931</w:t>
            </w:r>
          </w:p>
        </w:tc>
        <w:tc>
          <w:tcPr>
            <w:tcW w:w="2410" w:type="dxa"/>
          </w:tcPr>
          <w:p w:rsidR="00093197" w:rsidRDefault="00093197" w:rsidP="005F02E3">
            <w:pPr>
              <w:jc w:val="right"/>
            </w:pPr>
            <w:r>
              <w:rPr>
                <w:rFonts w:hint="eastAsia"/>
              </w:rPr>
              <w:t>5,340</w:t>
            </w:r>
          </w:p>
        </w:tc>
      </w:tr>
      <w:tr w:rsidR="00093197" w:rsidTr="00093197">
        <w:tc>
          <w:tcPr>
            <w:tcW w:w="2123" w:type="dxa"/>
          </w:tcPr>
          <w:p w:rsidR="00093197" w:rsidRDefault="00093197" w:rsidP="00242B8E">
            <w:r>
              <w:rPr>
                <w:rFonts w:hint="eastAsia"/>
              </w:rPr>
              <w:t>経常外収益</w:t>
            </w:r>
          </w:p>
        </w:tc>
        <w:tc>
          <w:tcPr>
            <w:tcW w:w="2408" w:type="dxa"/>
          </w:tcPr>
          <w:p w:rsidR="00093197" w:rsidRDefault="00093197" w:rsidP="005F02E3">
            <w:pPr>
              <w:jc w:val="right"/>
            </w:pPr>
            <w:r>
              <w:rPr>
                <w:rFonts w:hint="eastAsia"/>
              </w:rPr>
              <w:t>62</w:t>
            </w:r>
            <w:r w:rsidR="00067187">
              <w:rPr>
                <w:rFonts w:hint="eastAsia"/>
              </w:rPr>
              <w:t>6</w:t>
            </w:r>
          </w:p>
        </w:tc>
        <w:tc>
          <w:tcPr>
            <w:tcW w:w="2410" w:type="dxa"/>
          </w:tcPr>
          <w:p w:rsidR="00093197" w:rsidRPr="00CC3990" w:rsidRDefault="00093197" w:rsidP="005F02E3">
            <w:pPr>
              <w:jc w:val="right"/>
              <w:rPr>
                <w:rFonts w:eastAsiaTheme="minorHAnsi"/>
              </w:rPr>
            </w:pPr>
            <w:r>
              <w:rPr>
                <w:rFonts w:eastAsiaTheme="minorHAnsi" w:hint="eastAsia"/>
              </w:rPr>
              <w:t>7,78</w:t>
            </w:r>
            <w:r w:rsidR="003704CE">
              <w:rPr>
                <w:rFonts w:eastAsiaTheme="minorHAnsi" w:hint="eastAsia"/>
              </w:rPr>
              <w:t>4</w:t>
            </w:r>
          </w:p>
        </w:tc>
      </w:tr>
      <w:tr w:rsidR="00093197" w:rsidTr="00093197">
        <w:tc>
          <w:tcPr>
            <w:tcW w:w="2123" w:type="dxa"/>
          </w:tcPr>
          <w:p w:rsidR="00093197" w:rsidRDefault="00093197" w:rsidP="00242B8E">
            <w:r>
              <w:rPr>
                <w:rFonts w:hint="eastAsia"/>
              </w:rPr>
              <w:t>当期純</w:t>
            </w:r>
            <w:r w:rsidR="00E74669">
              <w:rPr>
                <w:rFonts w:hint="eastAsia"/>
              </w:rPr>
              <w:t>利</w:t>
            </w:r>
            <w:r>
              <w:rPr>
                <w:rFonts w:hint="eastAsia"/>
              </w:rPr>
              <w:t>益</w:t>
            </w:r>
          </w:p>
        </w:tc>
        <w:tc>
          <w:tcPr>
            <w:tcW w:w="2408" w:type="dxa"/>
          </w:tcPr>
          <w:p w:rsidR="00093197" w:rsidRDefault="00093197" w:rsidP="005F02E3">
            <w:pPr>
              <w:jc w:val="right"/>
            </w:pPr>
            <w:r>
              <w:rPr>
                <w:rFonts w:hint="eastAsia"/>
              </w:rPr>
              <w:t>3,786</w:t>
            </w:r>
          </w:p>
        </w:tc>
        <w:tc>
          <w:tcPr>
            <w:tcW w:w="2410" w:type="dxa"/>
          </w:tcPr>
          <w:p w:rsidR="00093197" w:rsidRDefault="00093197" w:rsidP="005F02E3">
            <w:pPr>
              <w:jc w:val="right"/>
            </w:pPr>
            <w:r>
              <w:rPr>
                <w:rFonts w:hint="eastAsia"/>
              </w:rPr>
              <w:t>4,477</w:t>
            </w:r>
          </w:p>
        </w:tc>
      </w:tr>
    </w:tbl>
    <w:p w:rsidR="003F779E" w:rsidRPr="00242B8E" w:rsidRDefault="003F779E" w:rsidP="00242B8E">
      <w:bookmarkStart w:id="0" w:name="_GoBack"/>
      <w:bookmarkEnd w:id="0"/>
    </w:p>
    <w:sectPr w:rsidR="003F779E" w:rsidRPr="00242B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F0"/>
    <w:rsid w:val="00067187"/>
    <w:rsid w:val="00093197"/>
    <w:rsid w:val="00137A76"/>
    <w:rsid w:val="00145D2C"/>
    <w:rsid w:val="001642A1"/>
    <w:rsid w:val="001B4BF0"/>
    <w:rsid w:val="001E2A19"/>
    <w:rsid w:val="001F45E0"/>
    <w:rsid w:val="00221261"/>
    <w:rsid w:val="00242B8E"/>
    <w:rsid w:val="00244292"/>
    <w:rsid w:val="00283538"/>
    <w:rsid w:val="003704CE"/>
    <w:rsid w:val="003F779E"/>
    <w:rsid w:val="005F02E3"/>
    <w:rsid w:val="00611041"/>
    <w:rsid w:val="00672403"/>
    <w:rsid w:val="00682287"/>
    <w:rsid w:val="006A4908"/>
    <w:rsid w:val="00776D5B"/>
    <w:rsid w:val="00791E21"/>
    <w:rsid w:val="007B646C"/>
    <w:rsid w:val="00855498"/>
    <w:rsid w:val="00892A49"/>
    <w:rsid w:val="00947F76"/>
    <w:rsid w:val="009F7966"/>
    <w:rsid w:val="00A75B51"/>
    <w:rsid w:val="00AC00B0"/>
    <w:rsid w:val="00BD7561"/>
    <w:rsid w:val="00C45966"/>
    <w:rsid w:val="00CC3990"/>
    <w:rsid w:val="00E05B5D"/>
    <w:rsid w:val="00E74669"/>
    <w:rsid w:val="00F06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E7E9C"/>
  <w15:chartTrackingRefBased/>
  <w15:docId w15:val="{5888DA97-9264-48BE-8582-6BF2E5AF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54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2020-03-25T02:48:00Z</cp:lastPrinted>
  <dcterms:created xsi:type="dcterms:W3CDTF">2020-02-28T02:42:00Z</dcterms:created>
  <dcterms:modified xsi:type="dcterms:W3CDTF">2020-03-25T02:53:00Z</dcterms:modified>
</cp:coreProperties>
</file>